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FD" w:rsidRDefault="0058541C" w:rsidP="00C25B75">
      <w:pPr>
        <w:bidi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تقرير بالخدمات التى تم تقديمها للمواطنين والمشاكل </w:t>
      </w:r>
      <w:r w:rsidR="00672117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التي</w:t>
      </w: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تم حلها </w:t>
      </w:r>
      <w:r w:rsidR="009F2CFD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والمشاكل الجاري</w:t>
      </w: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9F2CFD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حلها </w:t>
      </w:r>
    </w:p>
    <w:p w:rsidR="0058541C" w:rsidRPr="00AC465F" w:rsidRDefault="009F2CFD" w:rsidP="00CE7D41">
      <w:pPr>
        <w:bidi/>
        <w:jc w:val="center"/>
        <w:rPr>
          <w:b/>
          <w:bCs/>
          <w:sz w:val="18"/>
          <w:szCs w:val="18"/>
          <w:u w:val="single"/>
          <w:rtl/>
          <w:lang w:bidi="ar-EG"/>
        </w:rPr>
      </w:pP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وذلك</w:t>
      </w:r>
      <w:r w:rsidR="0058541C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عن شهر</w:t>
      </w:r>
      <w:r w:rsidR="00E47B4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6C3F55">
        <w:rPr>
          <w:rFonts w:hint="cs"/>
          <w:b/>
          <w:bCs/>
          <w:sz w:val="28"/>
          <w:szCs w:val="28"/>
          <w:u w:val="single"/>
          <w:rtl/>
          <w:lang w:bidi="ar-EG"/>
        </w:rPr>
        <w:t>يو</w:t>
      </w:r>
      <w:r w:rsidR="00CE7D41">
        <w:rPr>
          <w:rFonts w:hint="cs"/>
          <w:b/>
          <w:bCs/>
          <w:sz w:val="28"/>
          <w:szCs w:val="28"/>
          <w:u w:val="single"/>
          <w:rtl/>
          <w:lang w:bidi="ar-EG"/>
        </w:rPr>
        <w:t>ليو</w:t>
      </w:r>
      <w:bookmarkStart w:id="0" w:name="_GoBack"/>
      <w:bookmarkEnd w:id="0"/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201</w:t>
      </w:r>
      <w:r w:rsidR="00166E17">
        <w:rPr>
          <w:rFonts w:hint="cs"/>
          <w:b/>
          <w:bCs/>
          <w:sz w:val="28"/>
          <w:szCs w:val="28"/>
          <w:u w:val="single"/>
          <w:rtl/>
          <w:lang w:bidi="ar-EG"/>
        </w:rPr>
        <w:t>9</w:t>
      </w:r>
      <w:r w:rsidR="00E47B4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58541C">
        <w:rPr>
          <w:b/>
          <w:bCs/>
          <w:sz w:val="28"/>
          <w:szCs w:val="28"/>
          <w:u w:val="single"/>
          <w:rtl/>
          <w:lang w:bidi="ar-EG"/>
        </w:rPr>
        <w:br/>
      </w:r>
    </w:p>
    <w:p w:rsidR="00617BD9" w:rsidRPr="0058541C" w:rsidRDefault="0058541C" w:rsidP="00F97322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أولآ: الخدمات </w:t>
      </w:r>
      <w:r w:rsidR="00CC4C59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التي</w:t>
      </w: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تم تقديمها للمواطنين:-</w:t>
      </w:r>
    </w:p>
    <w:tbl>
      <w:tblPr>
        <w:tblStyle w:val="TableGrid"/>
        <w:tblpPr w:leftFromText="180" w:rightFromText="180" w:vertAnchor="text" w:horzAnchor="margin" w:tblpXSpec="center" w:tblpY="79"/>
        <w:tblW w:w="15090" w:type="dxa"/>
        <w:tblLook w:val="04A0" w:firstRow="1" w:lastRow="0" w:firstColumn="1" w:lastColumn="0" w:noHBand="0" w:noVBand="1"/>
      </w:tblPr>
      <w:tblGrid>
        <w:gridCol w:w="1129"/>
        <w:gridCol w:w="5245"/>
        <w:gridCol w:w="2268"/>
        <w:gridCol w:w="6003"/>
        <w:gridCol w:w="445"/>
      </w:tblGrid>
      <w:tr w:rsidR="005279BB" w:rsidTr="0040441F">
        <w:trPr>
          <w:trHeight w:val="394"/>
        </w:trPr>
        <w:tc>
          <w:tcPr>
            <w:tcW w:w="1129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  <w:tc>
          <w:tcPr>
            <w:tcW w:w="5245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العائد المتوقع</w:t>
            </w:r>
          </w:p>
        </w:tc>
        <w:tc>
          <w:tcPr>
            <w:tcW w:w="2268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المستفيدون من الخدمة</w:t>
            </w:r>
          </w:p>
        </w:tc>
        <w:tc>
          <w:tcPr>
            <w:tcW w:w="6003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نوع الخدمة</w:t>
            </w:r>
          </w:p>
        </w:tc>
        <w:tc>
          <w:tcPr>
            <w:tcW w:w="445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8541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5279BB" w:rsidTr="0040441F">
        <w:trPr>
          <w:trHeight w:val="432"/>
        </w:trPr>
        <w:tc>
          <w:tcPr>
            <w:tcW w:w="1129" w:type="dxa"/>
            <w:vAlign w:val="center"/>
          </w:tcPr>
          <w:p w:rsidR="005279BB" w:rsidRPr="0058541C" w:rsidRDefault="00AC465F" w:rsidP="00485F17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245" w:type="dxa"/>
          </w:tcPr>
          <w:p w:rsidR="005279BB" w:rsidRPr="00617BD9" w:rsidRDefault="005279BB" w:rsidP="00BC57B8">
            <w:pPr>
              <w:bidi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العائد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الاجتماعي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رفع كفاءة ومراقبة وتطوير المؤسسات والجهات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التي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تقوم بتقديم خدمات تدريبية واستشارات بما له عائد </w:t>
            </w:r>
            <w:r w:rsidR="00CC4C59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فني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على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تحسين التطبيقات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الخاصة بنظم الجودة داخل القطاع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الصناعي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والخدمي وكذلك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نشر ثقافة الجودة بالمجتمع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المصري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  <w:p w:rsidR="005279BB" w:rsidRPr="00617BD9" w:rsidRDefault="005279BB" w:rsidP="00BC57B8">
            <w:pPr>
              <w:bidi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العائد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الاقتصادي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الخاص بالتوريدات المالية تكلفة كل من عمليات المراجعة والتقييم والزيارات الميدانية واصدار الشهادات  </w:t>
            </w:r>
          </w:p>
        </w:tc>
        <w:tc>
          <w:tcPr>
            <w:tcW w:w="2268" w:type="dxa"/>
          </w:tcPr>
          <w:p w:rsidR="005279BB" w:rsidRPr="00617BD9" w:rsidRDefault="005279BB" w:rsidP="00BC57B8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شركات التدريب والتأهيل </w:t>
            </w:r>
            <w:r w:rsidR="00CC4C59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التي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تعمل </w:t>
            </w:r>
            <w:r w:rsidR="00CC4C59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في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مجالات الجودة المختلفة </w:t>
            </w:r>
          </w:p>
        </w:tc>
        <w:tc>
          <w:tcPr>
            <w:tcW w:w="6003" w:type="dxa"/>
          </w:tcPr>
          <w:p w:rsidR="005279BB" w:rsidRPr="00F97322" w:rsidRDefault="009865DE" w:rsidP="00BC73D3">
            <w:pPr>
              <w:pStyle w:val="ListParagraph"/>
              <w:bidi/>
              <w:ind w:left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المراجعة والتقييم واصدار الشهادات</w:t>
            </w:r>
            <w:r w:rsidR="005279BB" w:rsidRPr="00617BD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الخاصة بصلاحية شركات </w:t>
            </w:r>
            <w:r w:rsidR="00725E6B" w:rsidRPr="00617BD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التدريب والتأهيل طبقا</w:t>
            </w:r>
            <w:r w:rsidR="00C400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للقرار </w:t>
            </w:r>
            <w:r w:rsidR="00725E6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الوزاري</w:t>
            </w:r>
            <w:r w:rsidR="00C400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رقم</w:t>
            </w:r>
            <w:r w:rsidR="005279B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279B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347 لسنه </w:t>
            </w:r>
            <w:r w:rsidR="00725E6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2010 الصادر</w:t>
            </w:r>
            <w:r w:rsidR="005279B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بشأن مراجعة وتقييم واصدار شهادات </w:t>
            </w:r>
            <w:r w:rsidR="00725E6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صلاحية للجهات</w:t>
            </w:r>
            <w:r w:rsidR="005279B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العاملة فى تقديم خدمات التدريب والتأهيل</w:t>
            </w:r>
            <w:r w:rsidR="005279BB" w:rsidRPr="00617BD9">
              <w:rPr>
                <w:rFonts w:hint="cs"/>
                <w:sz w:val="26"/>
                <w:szCs w:val="26"/>
                <w:rtl/>
                <w:lang w:bidi="ar-EG"/>
              </w:rPr>
              <w:t xml:space="preserve">  </w:t>
            </w:r>
          </w:p>
          <w:p w:rsidR="001B7AF4" w:rsidRDefault="005830B0" w:rsidP="006C3F5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عدد جهات التأهيل الجارى متابعتها:</w:t>
            </w:r>
            <w:r w:rsidR="006C3F5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6</w:t>
            </w:r>
          </w:p>
          <w:p w:rsidR="001B7AF4" w:rsidRDefault="001B7AF4" w:rsidP="00CE7D41">
            <w:pPr>
              <w:numPr>
                <w:ilvl w:val="0"/>
                <w:numId w:val="1"/>
              </w:numPr>
              <w:bidi/>
              <w:spacing w:after="160" w:line="259" w:lineRule="auto"/>
              <w:contextualSpacing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 xml:space="preserve">جهات التأهيل المتقدمة بعد استيفاء الأوراق المطلوبة: </w:t>
            </w:r>
            <w:r w:rsidR="00CE7D41">
              <w:rPr>
                <w:rFonts w:asciiTheme="minorBidi" w:hAnsiTheme="minorBidi" w:hint="cs"/>
                <w:color w:val="000000" w:themeColor="text1"/>
                <w:rtl/>
                <w:lang w:bidi="ar-EG"/>
              </w:rPr>
              <w:t>0</w:t>
            </w:r>
          </w:p>
          <w:p w:rsidR="002C05A2" w:rsidRDefault="002C05A2" w:rsidP="00CE7D41">
            <w:pPr>
              <w:numPr>
                <w:ilvl w:val="0"/>
                <w:numId w:val="1"/>
              </w:numPr>
              <w:bidi/>
              <w:spacing w:after="160" w:line="259" w:lineRule="auto"/>
              <w:contextualSpacing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عدد الزيارت الميدانية:</w:t>
            </w:r>
            <w:r w:rsidR="00CE7D41">
              <w:rPr>
                <w:rFonts w:asciiTheme="minorBidi" w:hAnsiTheme="minorBidi" w:hint="cs"/>
                <w:color w:val="000000" w:themeColor="text1"/>
                <w:rtl/>
              </w:rPr>
              <w:t>0</w:t>
            </w:r>
          </w:p>
          <w:p w:rsidR="005279BB" w:rsidRPr="00012D86" w:rsidRDefault="005279BB" w:rsidP="00BC7A5D">
            <w:pPr>
              <w:pStyle w:val="ListParagraph"/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dxa"/>
          </w:tcPr>
          <w:p w:rsidR="005279BB" w:rsidRPr="0058541C" w:rsidRDefault="005279BB" w:rsidP="00BC57B8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4E28D5" w:rsidTr="0040441F">
        <w:trPr>
          <w:trHeight w:val="1273"/>
        </w:trPr>
        <w:tc>
          <w:tcPr>
            <w:tcW w:w="1129" w:type="dxa"/>
            <w:vAlign w:val="center"/>
          </w:tcPr>
          <w:p w:rsidR="004E28D5" w:rsidRPr="0058541C" w:rsidRDefault="00AC465F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245" w:type="dxa"/>
          </w:tcPr>
          <w:p w:rsidR="00012D86" w:rsidRDefault="00012D86" w:rsidP="00BC57B8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  <w:p w:rsidR="004E28D5" w:rsidRPr="00617BD9" w:rsidRDefault="00485F17" w:rsidP="00AC465F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عائد اجتماعي لرفع كفاءة وتنمية الافراد والعائد الاقتصادي الخاص بالتوريد المالي لتكاليف الدورة التدريبية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="00012D86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                </w:t>
            </w:r>
          </w:p>
        </w:tc>
        <w:tc>
          <w:tcPr>
            <w:tcW w:w="2268" w:type="dxa"/>
            <w:vAlign w:val="center"/>
          </w:tcPr>
          <w:p w:rsidR="00AB0F3F" w:rsidRDefault="005F0413" w:rsidP="00AB0F3F">
            <w:pPr>
              <w:bidi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افراد</w:t>
            </w:r>
          </w:p>
          <w:p w:rsidR="004E28D5" w:rsidRPr="00AB0F3F" w:rsidRDefault="004E28D5" w:rsidP="00AB0F3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6003" w:type="dxa"/>
            <w:vAlign w:val="center"/>
          </w:tcPr>
          <w:p w:rsidR="00EF198E" w:rsidRPr="00EF198E" w:rsidRDefault="00EF198E" w:rsidP="00BC57B8">
            <w:pPr>
              <w:tabs>
                <w:tab w:val="center" w:pos="1102"/>
              </w:tabs>
              <w:bidi/>
              <w:spacing w:line="360" w:lineRule="auto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EF198E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الخدمات التدريبية </w:t>
            </w:r>
          </w:p>
          <w:p w:rsidR="00CE7D41" w:rsidRPr="00CE7D41" w:rsidRDefault="00CE7D41" w:rsidP="00CE7D4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Arial"/>
                <w:color w:val="000000" w:themeColor="text1"/>
                <w:sz w:val="24"/>
                <w:szCs w:val="24"/>
              </w:rPr>
            </w:pPr>
            <w:r w:rsidRPr="00CE7D41"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</w:rPr>
              <w:t xml:space="preserve">إنشاء وتطبيق نظام سلامة الغذاء للمواصفة القياسية </w:t>
            </w:r>
            <w:r w:rsidRPr="00CE7D41">
              <w:rPr>
                <w:rFonts w:asciiTheme="minorBidi" w:hAnsiTheme="minorBidi" w:cs="Arial"/>
                <w:color w:val="000000" w:themeColor="text1"/>
                <w:sz w:val="24"/>
                <w:szCs w:val="24"/>
              </w:rPr>
              <w:t>ISO 22000</w:t>
            </w:r>
            <w:r w:rsidRPr="00CE7D41"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</w:rPr>
              <w:t xml:space="preserve"> وأسس تحليل المخاطر ونقاط التحكم الحرجة </w:t>
            </w:r>
            <w:r w:rsidRPr="00CE7D41">
              <w:rPr>
                <w:rFonts w:asciiTheme="minorBidi" w:hAnsiTheme="minorBidi" w:cs="Arial"/>
                <w:color w:val="000000" w:themeColor="text1"/>
                <w:sz w:val="24"/>
                <w:szCs w:val="24"/>
              </w:rPr>
              <w:t>HACCP</w:t>
            </w:r>
          </w:p>
          <w:p w:rsidR="00CE7D41" w:rsidRPr="00CE7D41" w:rsidRDefault="00CE7D41" w:rsidP="00CE7D4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Arial"/>
                <w:color w:val="000000" w:themeColor="text1"/>
                <w:sz w:val="24"/>
                <w:szCs w:val="24"/>
              </w:rPr>
            </w:pPr>
            <w:r w:rsidRPr="00CE7D41"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</w:rPr>
              <w:t>دبلوم إدارة الجودة</w:t>
            </w:r>
          </w:p>
          <w:p w:rsidR="000C6E0B" w:rsidRPr="00DC3D45" w:rsidRDefault="00CE7D41" w:rsidP="00CE7D4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000000" w:themeColor="text1"/>
                <w:rtl/>
              </w:rPr>
            </w:pPr>
            <w:r w:rsidRPr="00CE7D41"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</w:rPr>
              <w:t>جودة التدريب الخاصة</w:t>
            </w:r>
          </w:p>
        </w:tc>
        <w:tc>
          <w:tcPr>
            <w:tcW w:w="445" w:type="dxa"/>
          </w:tcPr>
          <w:p w:rsidR="004E28D5" w:rsidRPr="0058541C" w:rsidRDefault="0024457A" w:rsidP="00BC57B8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5830B0" w:rsidRDefault="005830B0" w:rsidP="005830B0">
      <w:pPr>
        <w:bidi/>
        <w:rPr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327"/>
        <w:tblW w:w="14157" w:type="dxa"/>
        <w:tblLook w:val="04A0" w:firstRow="1" w:lastRow="0" w:firstColumn="1" w:lastColumn="0" w:noHBand="0" w:noVBand="1"/>
      </w:tblPr>
      <w:tblGrid>
        <w:gridCol w:w="2370"/>
        <w:gridCol w:w="2383"/>
        <w:gridCol w:w="3148"/>
        <w:gridCol w:w="3500"/>
        <w:gridCol w:w="2370"/>
        <w:gridCol w:w="386"/>
      </w:tblGrid>
      <w:tr w:rsidR="005830B0" w:rsidTr="002714B2">
        <w:trPr>
          <w:trHeight w:val="416"/>
        </w:trPr>
        <w:tc>
          <w:tcPr>
            <w:tcW w:w="2367" w:type="dxa"/>
          </w:tcPr>
          <w:p w:rsidR="005830B0" w:rsidRDefault="005830B0" w:rsidP="005830B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  <w:tc>
          <w:tcPr>
            <w:tcW w:w="2390" w:type="dxa"/>
          </w:tcPr>
          <w:p w:rsidR="005830B0" w:rsidRDefault="005830B0" w:rsidP="005830B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الموقف النهائي</w:t>
            </w:r>
          </w:p>
        </w:tc>
        <w:tc>
          <w:tcPr>
            <w:tcW w:w="3144" w:type="dxa"/>
          </w:tcPr>
          <w:p w:rsidR="005830B0" w:rsidRDefault="005830B0" w:rsidP="005830B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الإجراء الذي تم</w:t>
            </w:r>
          </w:p>
        </w:tc>
        <w:tc>
          <w:tcPr>
            <w:tcW w:w="3496" w:type="dxa"/>
          </w:tcPr>
          <w:p w:rsidR="005830B0" w:rsidRDefault="005830B0" w:rsidP="005830B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محتوى الشكوى</w:t>
            </w:r>
          </w:p>
        </w:tc>
        <w:tc>
          <w:tcPr>
            <w:tcW w:w="2367" w:type="dxa"/>
          </w:tcPr>
          <w:p w:rsidR="005830B0" w:rsidRDefault="005830B0" w:rsidP="005830B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مقدم الشكوى</w:t>
            </w:r>
          </w:p>
        </w:tc>
        <w:tc>
          <w:tcPr>
            <w:tcW w:w="393" w:type="dxa"/>
          </w:tcPr>
          <w:p w:rsidR="005830B0" w:rsidRDefault="005830B0" w:rsidP="005830B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5830B0" w:rsidTr="002714B2">
        <w:trPr>
          <w:trHeight w:val="437"/>
        </w:trPr>
        <w:tc>
          <w:tcPr>
            <w:tcW w:w="2367" w:type="dxa"/>
          </w:tcPr>
          <w:p w:rsidR="005830B0" w:rsidRPr="00617BD9" w:rsidRDefault="005830B0" w:rsidP="005830B0">
            <w:pPr>
              <w:bidi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</w:t>
            </w:r>
          </w:p>
        </w:tc>
        <w:tc>
          <w:tcPr>
            <w:tcW w:w="2390" w:type="dxa"/>
          </w:tcPr>
          <w:p w:rsidR="005830B0" w:rsidRPr="00617BD9" w:rsidRDefault="005830B0" w:rsidP="005830B0">
            <w:pPr>
              <w:bidi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</w:t>
            </w:r>
          </w:p>
        </w:tc>
        <w:tc>
          <w:tcPr>
            <w:tcW w:w="3144" w:type="dxa"/>
          </w:tcPr>
          <w:p w:rsidR="005830B0" w:rsidRPr="005279BB" w:rsidRDefault="005830B0" w:rsidP="005830B0">
            <w:pPr>
              <w:bidi/>
              <w:ind w:firstLine="720"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</w:t>
            </w:r>
            <w:r w:rsidRPr="005279BB">
              <w:rPr>
                <w:sz w:val="26"/>
                <w:szCs w:val="26"/>
                <w:lang w:bidi="ar-EG"/>
              </w:rPr>
              <w:t xml:space="preserve"> </w:t>
            </w:r>
          </w:p>
        </w:tc>
        <w:tc>
          <w:tcPr>
            <w:tcW w:w="3496" w:type="dxa"/>
          </w:tcPr>
          <w:p w:rsidR="005830B0" w:rsidRPr="00617BD9" w:rsidRDefault="005830B0" w:rsidP="005830B0">
            <w:pPr>
              <w:bidi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ـــــــــــــــــــــــــــــــــــــــــــــــــــــــــــــ</w:t>
            </w:r>
          </w:p>
        </w:tc>
        <w:tc>
          <w:tcPr>
            <w:tcW w:w="2367" w:type="dxa"/>
          </w:tcPr>
          <w:p w:rsidR="005830B0" w:rsidRPr="00617BD9" w:rsidRDefault="005830B0" w:rsidP="005830B0">
            <w:pPr>
              <w:bidi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</w:t>
            </w:r>
          </w:p>
        </w:tc>
        <w:tc>
          <w:tcPr>
            <w:tcW w:w="393" w:type="dxa"/>
          </w:tcPr>
          <w:p w:rsidR="005830B0" w:rsidRDefault="005830B0" w:rsidP="005830B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</w:tbl>
    <w:p w:rsidR="00B15483" w:rsidRDefault="00642A01" w:rsidP="00AC465F">
      <w:pPr>
        <w:bidi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ثانيآ:</w:t>
      </w:r>
      <w:r w:rsidR="00CC4C5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المشاكل التى تم حلها و </w:t>
      </w:r>
      <w:r w:rsidR="00CC4C59">
        <w:rPr>
          <w:rFonts w:hint="cs"/>
          <w:b/>
          <w:bCs/>
          <w:sz w:val="28"/>
          <w:szCs w:val="28"/>
          <w:u w:val="single"/>
          <w:rtl/>
          <w:lang w:bidi="ar-EG"/>
        </w:rPr>
        <w:t>الجاري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حلها:-</w:t>
      </w:r>
    </w:p>
    <w:sectPr w:rsidR="00B15483" w:rsidSect="00AC465F">
      <w:headerReference w:type="default" r:id="rId7"/>
      <w:pgSz w:w="15840" w:h="12240" w:orient="landscape"/>
      <w:pgMar w:top="2127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B9" w:rsidRDefault="001952B9" w:rsidP="000332A2">
      <w:pPr>
        <w:spacing w:after="0" w:line="240" w:lineRule="auto"/>
      </w:pPr>
      <w:r>
        <w:separator/>
      </w:r>
    </w:p>
  </w:endnote>
  <w:endnote w:type="continuationSeparator" w:id="0">
    <w:p w:rsidR="001952B9" w:rsidRDefault="001952B9" w:rsidP="000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B9" w:rsidRDefault="001952B9" w:rsidP="000332A2">
      <w:pPr>
        <w:spacing w:after="0" w:line="240" w:lineRule="auto"/>
      </w:pPr>
      <w:r>
        <w:separator/>
      </w:r>
    </w:p>
  </w:footnote>
  <w:footnote w:type="continuationSeparator" w:id="0">
    <w:p w:rsidR="001952B9" w:rsidRDefault="001952B9" w:rsidP="0003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4B" w:rsidRDefault="0016772B" w:rsidP="00723299">
    <w:pPr>
      <w:pStyle w:val="Header"/>
      <w:tabs>
        <w:tab w:val="clear" w:pos="4320"/>
        <w:tab w:val="clear" w:pos="8640"/>
        <w:tab w:val="left" w:pos="102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49384" wp14:editId="661C1813">
          <wp:simplePos x="0" y="0"/>
          <wp:positionH relativeFrom="column">
            <wp:posOffset>-326390</wp:posOffset>
          </wp:positionH>
          <wp:positionV relativeFrom="paragraph">
            <wp:posOffset>11087</wp:posOffset>
          </wp:positionV>
          <wp:extent cx="824230" cy="614680"/>
          <wp:effectExtent l="0" t="0" r="0" b="0"/>
          <wp:wrapTight wrapText="bothSides">
            <wp:wrapPolygon edited="0">
              <wp:start x="0" y="0"/>
              <wp:lineTo x="0" y="20752"/>
              <wp:lineTo x="20968" y="20752"/>
              <wp:lineTo x="20968" y="0"/>
              <wp:lineTo x="0" y="0"/>
            </wp:wrapPolygon>
          </wp:wrapTight>
          <wp:docPr id="9" name="Picture 9" descr="NQi Logo&amp;colors with shadow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Qi Logo&amp;colors with shadow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299">
      <w:rPr>
        <w:noProof/>
      </w:rPr>
      <w:drawing>
        <wp:anchor distT="0" distB="0" distL="114300" distR="114300" simplePos="0" relativeHeight="251660288" behindDoc="0" locked="0" layoutInCell="1" allowOverlap="1" wp14:anchorId="442A26C9" wp14:editId="201EB960">
          <wp:simplePos x="0" y="0"/>
          <wp:positionH relativeFrom="column">
            <wp:posOffset>7392189</wp:posOffset>
          </wp:positionH>
          <wp:positionV relativeFrom="paragraph">
            <wp:posOffset>11430</wp:posOffset>
          </wp:positionV>
          <wp:extent cx="397510" cy="552450"/>
          <wp:effectExtent l="0" t="0" r="2540" b="0"/>
          <wp:wrapNone/>
          <wp:docPr id="10" name="Picture 10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299">
      <w:tab/>
    </w:r>
    <w:r w:rsidR="00723299">
      <w:tab/>
    </w:r>
  </w:p>
  <w:p w:rsidR="0016772B" w:rsidRDefault="00723299" w:rsidP="00723299">
    <w:pPr>
      <w:bidi/>
      <w:spacing w:line="240" w:lineRule="auto"/>
      <w:rPr>
        <w:rFonts w:asciiTheme="minorBidi" w:hAnsiTheme="minorBidi"/>
        <w:b/>
        <w:bCs/>
        <w:color w:val="000000" w:themeColor="text1"/>
        <w:sz w:val="20"/>
        <w:szCs w:val="20"/>
        <w:rtl/>
        <w:lang w:bidi="ar-EG"/>
      </w:rPr>
    </w:pPr>
    <w:r w:rsidRPr="00723299">
      <w:rPr>
        <w:rFonts w:asciiTheme="minorBidi" w:hAnsiTheme="minorBidi" w:hint="cs"/>
        <w:b/>
        <w:bCs/>
        <w:color w:val="000000" w:themeColor="text1"/>
        <w:sz w:val="20"/>
        <w:szCs w:val="20"/>
        <w:rtl/>
        <w:lang w:bidi="ar-EG"/>
      </w:rPr>
      <w:t xml:space="preserve">    </w:t>
    </w:r>
  </w:p>
  <w:p w:rsidR="0016772B" w:rsidRDefault="0016772B" w:rsidP="0016772B">
    <w:pPr>
      <w:bidi/>
      <w:spacing w:line="240" w:lineRule="auto"/>
      <w:rPr>
        <w:rFonts w:asciiTheme="minorBidi" w:hAnsiTheme="minorBidi"/>
        <w:b/>
        <w:bCs/>
        <w:color w:val="000000" w:themeColor="text1"/>
        <w:sz w:val="20"/>
        <w:szCs w:val="20"/>
        <w:rtl/>
      </w:rPr>
    </w:pPr>
  </w:p>
  <w:p w:rsidR="00723299" w:rsidRPr="00F43E07" w:rsidRDefault="0016772B" w:rsidP="00F43E07">
    <w:pPr>
      <w:bidi/>
      <w:spacing w:line="240" w:lineRule="auto"/>
      <w:rPr>
        <w:rFonts w:asciiTheme="minorBidi" w:hAnsiTheme="minorBidi"/>
        <w:b/>
        <w:bCs/>
        <w:color w:val="000000" w:themeColor="text1"/>
        <w:sz w:val="20"/>
        <w:szCs w:val="20"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="00723299" w:rsidRPr="00723299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وزارة </w:t>
    </w:r>
    <w:r w:rsidR="00F43E07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التجارة والصناعة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D21"/>
    <w:multiLevelType w:val="hybridMultilevel"/>
    <w:tmpl w:val="8D02EB1E"/>
    <w:lvl w:ilvl="0" w:tplc="27FE845E">
      <w:start w:val="6"/>
      <w:numFmt w:val="bullet"/>
      <w:lvlText w:val="-"/>
      <w:lvlJc w:val="left"/>
      <w:pPr>
        <w:ind w:left="60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" w15:restartNumberingAfterBreak="0">
    <w:nsid w:val="188D0C82"/>
    <w:multiLevelType w:val="hybridMultilevel"/>
    <w:tmpl w:val="40A42C86"/>
    <w:lvl w:ilvl="0" w:tplc="88409E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4A7"/>
    <w:multiLevelType w:val="hybridMultilevel"/>
    <w:tmpl w:val="9FCAA50E"/>
    <w:lvl w:ilvl="0" w:tplc="78ACE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778C"/>
    <w:multiLevelType w:val="hybridMultilevel"/>
    <w:tmpl w:val="AEB86C42"/>
    <w:lvl w:ilvl="0" w:tplc="69B842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463E5"/>
    <w:multiLevelType w:val="hybridMultilevel"/>
    <w:tmpl w:val="456C9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9E50BF"/>
    <w:multiLevelType w:val="hybridMultilevel"/>
    <w:tmpl w:val="CD38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C08CD"/>
    <w:multiLevelType w:val="hybridMultilevel"/>
    <w:tmpl w:val="51C44FD6"/>
    <w:lvl w:ilvl="0" w:tplc="81702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323EF"/>
    <w:multiLevelType w:val="hybridMultilevel"/>
    <w:tmpl w:val="8AD8EEE8"/>
    <w:lvl w:ilvl="0" w:tplc="81702BA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2E353C"/>
    <w:multiLevelType w:val="hybridMultilevel"/>
    <w:tmpl w:val="F96A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DD"/>
    <w:rsid w:val="00002D40"/>
    <w:rsid w:val="0000697B"/>
    <w:rsid w:val="00012D86"/>
    <w:rsid w:val="000273B0"/>
    <w:rsid w:val="000332A2"/>
    <w:rsid w:val="000421AB"/>
    <w:rsid w:val="00060D57"/>
    <w:rsid w:val="000720AA"/>
    <w:rsid w:val="00076CEF"/>
    <w:rsid w:val="000915E0"/>
    <w:rsid w:val="000C0A6E"/>
    <w:rsid w:val="000C33F6"/>
    <w:rsid w:val="000C6E0B"/>
    <w:rsid w:val="000D6E52"/>
    <w:rsid w:val="000E74A3"/>
    <w:rsid w:val="000F311E"/>
    <w:rsid w:val="001071C2"/>
    <w:rsid w:val="0011684C"/>
    <w:rsid w:val="001200C5"/>
    <w:rsid w:val="001374E0"/>
    <w:rsid w:val="001629DB"/>
    <w:rsid w:val="00166E17"/>
    <w:rsid w:val="0016772B"/>
    <w:rsid w:val="001770BE"/>
    <w:rsid w:val="001952B9"/>
    <w:rsid w:val="001A05CA"/>
    <w:rsid w:val="001A433B"/>
    <w:rsid w:val="001B7AF4"/>
    <w:rsid w:val="001E26C1"/>
    <w:rsid w:val="001E5B6E"/>
    <w:rsid w:val="001E5C1D"/>
    <w:rsid w:val="001F2EDA"/>
    <w:rsid w:val="001F7CA1"/>
    <w:rsid w:val="0024457A"/>
    <w:rsid w:val="0025058E"/>
    <w:rsid w:val="002512DD"/>
    <w:rsid w:val="00266CED"/>
    <w:rsid w:val="002714B2"/>
    <w:rsid w:val="00287DEE"/>
    <w:rsid w:val="002B4D5C"/>
    <w:rsid w:val="002B581E"/>
    <w:rsid w:val="002C05A2"/>
    <w:rsid w:val="003169EF"/>
    <w:rsid w:val="00351296"/>
    <w:rsid w:val="00367CE9"/>
    <w:rsid w:val="00384629"/>
    <w:rsid w:val="003D1304"/>
    <w:rsid w:val="003D190F"/>
    <w:rsid w:val="003F2CBC"/>
    <w:rsid w:val="0040441F"/>
    <w:rsid w:val="00452FDA"/>
    <w:rsid w:val="004751A3"/>
    <w:rsid w:val="00481F8C"/>
    <w:rsid w:val="00485F17"/>
    <w:rsid w:val="004977D1"/>
    <w:rsid w:val="004A2ACD"/>
    <w:rsid w:val="004B106C"/>
    <w:rsid w:val="004B4F19"/>
    <w:rsid w:val="004D3458"/>
    <w:rsid w:val="004E28D5"/>
    <w:rsid w:val="00513B57"/>
    <w:rsid w:val="00525C1A"/>
    <w:rsid w:val="005279BB"/>
    <w:rsid w:val="00544E48"/>
    <w:rsid w:val="00556FF5"/>
    <w:rsid w:val="00563157"/>
    <w:rsid w:val="0057167E"/>
    <w:rsid w:val="005830B0"/>
    <w:rsid w:val="0058541C"/>
    <w:rsid w:val="00587EA9"/>
    <w:rsid w:val="005B1BFD"/>
    <w:rsid w:val="005B7236"/>
    <w:rsid w:val="005C36C8"/>
    <w:rsid w:val="005C6E55"/>
    <w:rsid w:val="005E0769"/>
    <w:rsid w:val="005F0413"/>
    <w:rsid w:val="005F2226"/>
    <w:rsid w:val="0060339E"/>
    <w:rsid w:val="00604F9A"/>
    <w:rsid w:val="00617BD9"/>
    <w:rsid w:val="00625312"/>
    <w:rsid w:val="00634818"/>
    <w:rsid w:val="00636DAB"/>
    <w:rsid w:val="00640832"/>
    <w:rsid w:val="00642A01"/>
    <w:rsid w:val="006555EE"/>
    <w:rsid w:val="00672117"/>
    <w:rsid w:val="00693476"/>
    <w:rsid w:val="006A3630"/>
    <w:rsid w:val="006B1DE3"/>
    <w:rsid w:val="006C3F55"/>
    <w:rsid w:val="006E626B"/>
    <w:rsid w:val="006E66C7"/>
    <w:rsid w:val="00700851"/>
    <w:rsid w:val="00705FD6"/>
    <w:rsid w:val="00723299"/>
    <w:rsid w:val="00725E6B"/>
    <w:rsid w:val="00751B97"/>
    <w:rsid w:val="007863BC"/>
    <w:rsid w:val="00796B51"/>
    <w:rsid w:val="007B11B2"/>
    <w:rsid w:val="007B3BD9"/>
    <w:rsid w:val="007C06B5"/>
    <w:rsid w:val="007D734F"/>
    <w:rsid w:val="00802460"/>
    <w:rsid w:val="00810733"/>
    <w:rsid w:val="008244BC"/>
    <w:rsid w:val="00824E9C"/>
    <w:rsid w:val="00850883"/>
    <w:rsid w:val="00857803"/>
    <w:rsid w:val="0086292A"/>
    <w:rsid w:val="008719B1"/>
    <w:rsid w:val="00881B75"/>
    <w:rsid w:val="008A0708"/>
    <w:rsid w:val="008B07F4"/>
    <w:rsid w:val="008C1607"/>
    <w:rsid w:val="008D763D"/>
    <w:rsid w:val="00900F6B"/>
    <w:rsid w:val="009362B1"/>
    <w:rsid w:val="00957098"/>
    <w:rsid w:val="0096659A"/>
    <w:rsid w:val="009763D0"/>
    <w:rsid w:val="009865DE"/>
    <w:rsid w:val="009E049C"/>
    <w:rsid w:val="009E273A"/>
    <w:rsid w:val="009F2CFD"/>
    <w:rsid w:val="009F6639"/>
    <w:rsid w:val="00A14F20"/>
    <w:rsid w:val="00A35714"/>
    <w:rsid w:val="00A478B8"/>
    <w:rsid w:val="00A51053"/>
    <w:rsid w:val="00A8405B"/>
    <w:rsid w:val="00A86BE8"/>
    <w:rsid w:val="00AB0F3F"/>
    <w:rsid w:val="00AC3CE5"/>
    <w:rsid w:val="00AC465F"/>
    <w:rsid w:val="00B14094"/>
    <w:rsid w:val="00B15483"/>
    <w:rsid w:val="00B94910"/>
    <w:rsid w:val="00BB3665"/>
    <w:rsid w:val="00BB6B5D"/>
    <w:rsid w:val="00BB6DD8"/>
    <w:rsid w:val="00BC46F1"/>
    <w:rsid w:val="00BC57B8"/>
    <w:rsid w:val="00BC73D3"/>
    <w:rsid w:val="00BC7A5D"/>
    <w:rsid w:val="00BD1BA5"/>
    <w:rsid w:val="00C07D04"/>
    <w:rsid w:val="00C25B75"/>
    <w:rsid w:val="00C400F8"/>
    <w:rsid w:val="00C4109A"/>
    <w:rsid w:val="00C52ADD"/>
    <w:rsid w:val="00C5780A"/>
    <w:rsid w:val="00C63E26"/>
    <w:rsid w:val="00C93E4D"/>
    <w:rsid w:val="00CB60BB"/>
    <w:rsid w:val="00CC4C59"/>
    <w:rsid w:val="00CC5E94"/>
    <w:rsid w:val="00CD6B2A"/>
    <w:rsid w:val="00CE7D41"/>
    <w:rsid w:val="00CF0457"/>
    <w:rsid w:val="00D26BA6"/>
    <w:rsid w:val="00D6577A"/>
    <w:rsid w:val="00D96581"/>
    <w:rsid w:val="00D967C2"/>
    <w:rsid w:val="00DC3D45"/>
    <w:rsid w:val="00DE68D7"/>
    <w:rsid w:val="00DF185D"/>
    <w:rsid w:val="00DF3FEC"/>
    <w:rsid w:val="00E16546"/>
    <w:rsid w:val="00E4597A"/>
    <w:rsid w:val="00E45AC9"/>
    <w:rsid w:val="00E47B4B"/>
    <w:rsid w:val="00E830D2"/>
    <w:rsid w:val="00EA3C5C"/>
    <w:rsid w:val="00EB6DA3"/>
    <w:rsid w:val="00EC483A"/>
    <w:rsid w:val="00EC6BAE"/>
    <w:rsid w:val="00EE5511"/>
    <w:rsid w:val="00EF198E"/>
    <w:rsid w:val="00F04A8E"/>
    <w:rsid w:val="00F15AB0"/>
    <w:rsid w:val="00F43E07"/>
    <w:rsid w:val="00F50383"/>
    <w:rsid w:val="00F75F46"/>
    <w:rsid w:val="00F97322"/>
    <w:rsid w:val="00FC49D2"/>
    <w:rsid w:val="00FF461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B7DB2A7-794C-402D-8BAA-9BD10183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32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A2"/>
  </w:style>
  <w:style w:type="paragraph" w:styleId="Footer">
    <w:name w:val="footer"/>
    <w:basedOn w:val="Normal"/>
    <w:link w:val="FooterChar"/>
    <w:uiPriority w:val="99"/>
    <w:unhideWhenUsed/>
    <w:rsid w:val="000332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2A2"/>
  </w:style>
  <w:style w:type="paragraph" w:styleId="ListParagraph">
    <w:name w:val="List Paragraph"/>
    <w:basedOn w:val="Normal"/>
    <w:uiPriority w:val="34"/>
    <w:qFormat/>
    <w:rsid w:val="00E47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8FDE884FC056EA4FBA95A9D78A47AE25" ma:contentTypeVersion="1" ma:contentTypeDescription="تحميل صورة." ma:contentTypeScope="" ma:versionID="a7c7d50277dc37f04fd1cb8d28fdca03">
  <xsd:schema xmlns:xsd="http://www.w3.org/2001/XMLSchema" xmlns:xs="http://www.w3.org/2001/XMLSchema" xmlns:p="http://schemas.microsoft.com/office/2006/metadata/properties" xmlns:ns1="http://schemas.microsoft.com/sharepoint/v3" xmlns:ns2="34A422F4-F6A1-48F0-9F5F-78111C5C4235" xmlns:ns3="http://schemas.microsoft.com/sharepoint/v3/fields" targetNamespace="http://schemas.microsoft.com/office/2006/metadata/properties" ma:root="true" ma:fieldsID="3ed4946f2ea584ac5649069ab5f3ee97" ns1:_="" ns2:_="" ns3:_="">
    <xsd:import namespace="http://schemas.microsoft.com/sharepoint/v3"/>
    <xsd:import namespace="34A422F4-F6A1-48F0-9F5F-78111C5C42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422F4-F6A1-48F0-9F5F-78111C5C423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4A422F4-F6A1-48F0-9F5F-78111C5C423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B29F116-9A4A-40CB-8D19-A04582ED79BC}"/>
</file>

<file path=customXml/itemProps2.xml><?xml version="1.0" encoding="utf-8"?>
<ds:datastoreItem xmlns:ds="http://schemas.openxmlformats.org/officeDocument/2006/customXml" ds:itemID="{565938E2-3CE3-4720-B070-C9A56E1B1925}"/>
</file>

<file path=customXml/itemProps3.xml><?xml version="1.0" encoding="utf-8"?>
<ds:datastoreItem xmlns:ds="http://schemas.openxmlformats.org/officeDocument/2006/customXml" ds:itemID="{05F25E06-5FEC-4DA0-B10D-D7F504A96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Shimaa</dc:creator>
  <cp:keywords/>
  <dc:description/>
  <cp:lastModifiedBy>Shimaa</cp:lastModifiedBy>
  <cp:revision>52</cp:revision>
  <cp:lastPrinted>2019-07-09T09:38:00Z</cp:lastPrinted>
  <dcterms:created xsi:type="dcterms:W3CDTF">2016-04-28T15:07:00Z</dcterms:created>
  <dcterms:modified xsi:type="dcterms:W3CDTF">2019-08-04T12:20:00Z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0x0101009148F5A04DDD49CBA7127AADA5FB792B00AADE34325A8B49CDA8BB4DB53328F214008FDE884FC056EA4FBA95A9D78A47AE25</vt:lpwstr>
  </property>
</Properties>
</file>